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7326BD" w:rsidTr="00A45E83">
        <w:tc>
          <w:tcPr>
            <w:tcW w:w="8978" w:type="dxa"/>
          </w:tcPr>
          <w:p w:rsidR="00A45E83" w:rsidRPr="007326BD" w:rsidRDefault="00A45E83" w:rsidP="00A45E83">
            <w:pPr>
              <w:spacing w:after="0" w:line="240" w:lineRule="auto"/>
              <w:jc w:val="center"/>
              <w:rPr>
                <w:rFonts w:ascii="Arial" w:hAnsi="Arial" w:cs="Arial"/>
                <w:b/>
                <w:sz w:val="28"/>
                <w:szCs w:val="28"/>
              </w:rPr>
            </w:pPr>
            <w:r w:rsidRPr="007326BD">
              <w:rPr>
                <w:rFonts w:ascii="Arial" w:hAnsi="Arial" w:cs="Arial"/>
                <w:b/>
                <w:sz w:val="28"/>
                <w:szCs w:val="28"/>
              </w:rPr>
              <w:t>EVALUACIÓN DE PROGRAMAS</w:t>
            </w:r>
          </w:p>
          <w:p w:rsidR="00A45E83" w:rsidRPr="00C6688B" w:rsidRDefault="000C6815" w:rsidP="00A45E83">
            <w:pPr>
              <w:spacing w:after="0" w:line="240" w:lineRule="auto"/>
              <w:jc w:val="center"/>
              <w:rPr>
                <w:rFonts w:ascii="Arial" w:hAnsi="Arial" w:cs="Arial"/>
                <w:b/>
                <w:sz w:val="28"/>
                <w:szCs w:val="28"/>
              </w:rPr>
            </w:pPr>
            <w:bookmarkStart w:id="0" w:name="ente"/>
            <w:bookmarkEnd w:id="0"/>
            <w:r>
              <w:rPr>
                <w:rFonts w:ascii="Arial" w:hAnsi="Arial" w:cs="Arial"/>
                <w:b/>
                <w:sz w:val="28"/>
                <w:szCs w:val="28"/>
              </w:rPr>
              <w:t>DIF SISTEMA PARA EL DESARROLLO INTEGRAL DE LA FAMILIA DEL MUNICIPIO DE TLAQUEPAQUE DIF</w:t>
            </w:r>
          </w:p>
          <w:p w:rsidR="00A45E83" w:rsidRPr="00C6688B" w:rsidRDefault="000C6815" w:rsidP="00AA3448">
            <w:pPr>
              <w:spacing w:after="0" w:line="240" w:lineRule="auto"/>
              <w:jc w:val="center"/>
              <w:rPr>
                <w:rFonts w:ascii="Arial" w:hAnsi="Arial" w:cs="Arial"/>
                <w:b/>
                <w:sz w:val="28"/>
                <w:szCs w:val="28"/>
              </w:rPr>
            </w:pPr>
            <w:bookmarkStart w:id="1" w:name="periodo"/>
            <w:bookmarkEnd w:id="1"/>
            <w:r>
              <w:rPr>
                <w:rFonts w:ascii="Arial" w:hAnsi="Arial" w:cs="Arial"/>
                <w:b/>
                <w:sz w:val="28"/>
                <w:szCs w:val="28"/>
              </w:rPr>
              <w:t xml:space="preserve">DEL 1 </w:t>
            </w:r>
            <w:r w:rsidR="00AA3448">
              <w:rPr>
                <w:rFonts w:ascii="Arial" w:hAnsi="Arial" w:cs="Arial"/>
                <w:b/>
                <w:sz w:val="28"/>
                <w:szCs w:val="28"/>
              </w:rPr>
              <w:t>DE JULIO AL 30 DE SEPTIEMBRE</w:t>
            </w:r>
            <w:r w:rsidR="00ED3132">
              <w:rPr>
                <w:rFonts w:ascii="Arial" w:hAnsi="Arial" w:cs="Arial"/>
                <w:b/>
                <w:sz w:val="28"/>
                <w:szCs w:val="28"/>
              </w:rPr>
              <w:t xml:space="preserve"> 202</w:t>
            </w:r>
            <w:r w:rsidR="000A31D1">
              <w:rPr>
                <w:rFonts w:ascii="Arial" w:hAnsi="Arial" w:cs="Arial"/>
                <w:b/>
                <w:sz w:val="28"/>
                <w:szCs w:val="28"/>
              </w:rPr>
              <w:t>4</w:t>
            </w:r>
          </w:p>
        </w:tc>
      </w:tr>
    </w:tbl>
    <w:p w:rsidR="00806603" w:rsidRPr="007326BD" w:rsidRDefault="00806603" w:rsidP="00A45E83">
      <w:pPr>
        <w:spacing w:after="120" w:line="240" w:lineRule="auto"/>
        <w:rPr>
          <w:rFonts w:ascii="Arial" w:hAnsi="Arial" w:cs="Arial"/>
          <w:sz w:val="28"/>
          <w:szCs w:val="28"/>
        </w:rPr>
      </w:pPr>
    </w:p>
    <w:p w:rsidR="00AA3448" w:rsidRPr="00176363" w:rsidRDefault="00AA3448" w:rsidP="00AA3448">
      <w:pPr>
        <w:jc w:val="center"/>
        <w:rPr>
          <w:b/>
          <w:bCs/>
        </w:rPr>
      </w:pPr>
      <w:bookmarkStart w:id="2" w:name="cuerpo"/>
      <w:bookmarkEnd w:id="2"/>
      <w:r w:rsidRPr="00176363">
        <w:rPr>
          <w:b/>
          <w:bCs/>
        </w:rPr>
        <w:t>NARRATIVA DE TRIMESTRE JULIO-SEPTIEMBRE</w:t>
      </w:r>
      <w:r w:rsidR="00ED3132">
        <w:rPr>
          <w:b/>
          <w:bCs/>
        </w:rPr>
        <w:t xml:space="preserve"> 202</w:t>
      </w:r>
      <w:r w:rsidR="000A31D1">
        <w:rPr>
          <w:b/>
          <w:bCs/>
        </w:rPr>
        <w:t>4</w:t>
      </w:r>
    </w:p>
    <w:p w:rsidR="00AA3448" w:rsidRDefault="00AA3448" w:rsidP="00715B3E">
      <w:pPr>
        <w:jc w:val="center"/>
        <w:rPr>
          <w:b/>
          <w:bCs/>
        </w:rPr>
      </w:pPr>
      <w:r w:rsidRPr="00F85680">
        <w:rPr>
          <w:b/>
          <w:bCs/>
        </w:rPr>
        <w:t>TRATAME BIEN</w:t>
      </w:r>
    </w:p>
    <w:p w:rsidR="00715B3E" w:rsidRPr="00715B3E" w:rsidRDefault="00715B3E" w:rsidP="00715B3E">
      <w:pPr>
        <w:jc w:val="both"/>
      </w:pPr>
      <w:r w:rsidRPr="00715B3E">
        <w:t>Los casos atendidos por las Áreas de Trabajo Social, Psicología y Jurídico a los cuales se les brinda atención de servicio integral de la unidad, basados en el protocolo de atención; los que aceptaron el apoyo fueron un total (16) 8 Mujeres,3 Hombres, 3 Adolescentes y 2 niñas. De los cuales son usuarios de seguimiento que acuden semalmente, así también usuarios derivados por otras instituciones como (CJM, INMUJERES, FISCALIA, etc.), a las cuales se brinda 122 seguimientos, 12 canalizaciones, 123 citatorios, 120 visitas domiciliarias, 30 asesorías, 49 Orientaciones, se brindó escuela para padres con una asistencia de 3 madres de familia cada semana, terapia grupal 29 mujeres y niños cada semana. Por otra parte, se trabaja con la población de las siguientes colonias: El campesino 14, Haciendas del Real 16, Lomas del 4 5, Toluquilla 7, La Duraznera 3, Jardines de Santa María 14, Loma Bonita 11 Cerro del 4 8, El Sauz 5, El vergel 4, Santa Anita 3, Las Huertas 6, Fco. I. Madero 7, Miravalle 7, Buenos Aires 5.</w:t>
      </w:r>
    </w:p>
    <w:p w:rsidR="00AA3448" w:rsidRDefault="00AA3448" w:rsidP="00AA3448">
      <w:pPr>
        <w:jc w:val="center"/>
        <w:rPr>
          <w:b/>
          <w:bCs/>
        </w:rPr>
      </w:pPr>
      <w:r w:rsidRPr="00176363">
        <w:rPr>
          <w:b/>
          <w:bCs/>
        </w:rPr>
        <w:t>ÁREA ALIMENTARIA</w:t>
      </w:r>
    </w:p>
    <w:p w:rsidR="00F85680" w:rsidRDefault="00F85680" w:rsidP="00AA3448">
      <w:pPr>
        <w:jc w:val="center"/>
        <w:rPr>
          <w:b/>
          <w:bCs/>
        </w:rPr>
      </w:pPr>
      <w:r w:rsidRPr="005956AF">
        <w:rPr>
          <w:lang w:val="es-ES"/>
        </w:rPr>
        <w:t>Narrativa de trimestre Julio-sept:     El programa PAAGP opero durante el cuarto trimestre 2023-2024,  que abarca del 01 de julio al 30 de septiembre del  2024,  conforme al cronograma de actividades a desarrollar, se entregaron  6,126 dotaciones alimentarias  a las personas con discapacidad, adultos mayores, niñas y niños de 2 a 5 años 11 meses no escolarizados, así como personas que por su condición de vulnerabilidad se encuentren en situación de carencia alimentaria o desnutrición, inscritas en el padrón de beneficiarios. Así mismo se ofreció una plática de Orientación alimentaria para reforzar su educación alimentaria y completar su dieta en contribución al ejercicio del derecho a la alimentación.                                                                                                                                                                                                                                                   El programa En los Primeros 1,000 días de vida durante el  tercer cua</w:t>
      </w:r>
      <w:r>
        <w:rPr>
          <w:lang w:val="es-ES"/>
        </w:rPr>
        <w:t>r</w:t>
      </w:r>
      <w:r w:rsidRPr="005956AF">
        <w:rPr>
          <w:lang w:val="es-ES"/>
        </w:rPr>
        <w:t>to  2023-2024, que abarca del 01 de julio al 30 de septiembre del  2024, se realiza la entrega de 1,620 dotación alimentarias a mujeres embarazadas y mujeres en periodo de lactancia, niñas y niños de 06 a 24 meses de edad con inseguridad alimentaria  inscritas e</w:t>
      </w:r>
      <w:r>
        <w:rPr>
          <w:lang w:val="es-ES"/>
        </w:rPr>
        <w:t>n</w:t>
      </w:r>
      <w:r w:rsidRPr="005956AF">
        <w:rPr>
          <w:lang w:val="es-ES"/>
        </w:rPr>
        <w:t xml:space="preserve"> el padrón de beneficiarios, fue entregado a los beneficiarios el apoyo alimentario y la  plática de orientación Alimentaria.                                                 El Programa de Alimentación Escolar durante el cuarto trimestre 2023-2024, que abarca del 01 de julio al 30 de septiembre del 2024, se hace la entrega de 264,891 raciones de desayuno a un total de 8,027 niñas, niños y adolescentes de planteles educativos inscritos al padrón de beneficiarios. El desayuno se entrega de manera individual a cada estudiante, mismo que incluye 1/4 de leche descremada, 1 porción de cereal y 1 fruta de temporada para modalidad Frio y 1/4 de leche descremada y una ración de desayuno preparado para modalidad caliente.                                                                              </w:t>
      </w:r>
      <w:r w:rsidRPr="005956AF">
        <w:rPr>
          <w:lang w:val="es-ES"/>
        </w:rPr>
        <w:lastRenderedPageBreak/>
        <w:t xml:space="preserve">El Programa de Comedores Comunitarios durante el cuarto trimestre 2023-2024, que abarca del 01 de julio al 30 de septiembre del 2024, entrego diariamente 200 raciones entre desayunos y comidas, en los comedores comunitarios ubicados en las comunidades de Lomas del Cuatro y Parques de la Victoria, se atendieron un total de 100 beneficiarios y se entregaron en total 12,800 raciones de alimento preparado a los beneficiarios. Así mismo se realizaron 3 actividades recreativas (deporte, juegos de mesa, manualidades).                                                                                            Se otorgan Platicas De Orientación </w:t>
      </w:r>
      <w:r w:rsidRPr="005956AF">
        <w:rPr>
          <w:lang w:val="es-ES"/>
        </w:rPr>
        <w:t>Alimentaria a</w:t>
      </w:r>
      <w:r w:rsidRPr="005956AF">
        <w:rPr>
          <w:lang w:val="es-ES"/>
        </w:rPr>
        <w:t xml:space="preserve"> nuestros beneficiarios de los distintos programas de Seguridad Alimentaria, realizando un total de 60 Platicas para el </w:t>
      </w:r>
      <w:r w:rsidRPr="005956AF">
        <w:rPr>
          <w:lang w:val="es-ES"/>
        </w:rPr>
        <w:t>Programa PAAGP</w:t>
      </w:r>
      <w:r w:rsidRPr="005956AF">
        <w:rPr>
          <w:lang w:val="es-ES"/>
        </w:rPr>
        <w:t>, 60 Platicas al Programa Primeros Mil Días, 74 Platicas aplicadas en los 74 planteles (1 Tema por plantel escolar), 1 platicas en cada comedor comunitario. (Parques de la Victoria y Lomas del Cuatro</w:t>
      </w:r>
    </w:p>
    <w:p w:rsidR="00AA3448" w:rsidRDefault="00AA3448" w:rsidP="00AA3448">
      <w:pPr>
        <w:jc w:val="center"/>
        <w:rPr>
          <w:b/>
          <w:bCs/>
        </w:rPr>
      </w:pPr>
      <w:r w:rsidRPr="009D7829">
        <w:rPr>
          <w:b/>
          <w:bCs/>
        </w:rPr>
        <w:t>UAVIFAM</w:t>
      </w:r>
    </w:p>
    <w:p w:rsidR="00883A85" w:rsidRPr="008323DC" w:rsidRDefault="00883A85" w:rsidP="00883A85">
      <w:pPr>
        <w:spacing w:after="0" w:line="240" w:lineRule="auto"/>
        <w:rPr>
          <w:rFonts w:ascii="Arial" w:eastAsia="Times New Roman" w:hAnsi="Arial" w:cs="Arial"/>
          <w:b/>
          <w:bCs/>
          <w:sz w:val="28"/>
          <w:szCs w:val="28"/>
          <w:lang w:eastAsia="es-MX"/>
        </w:rPr>
      </w:pPr>
      <w:r w:rsidRPr="008323DC">
        <w:rPr>
          <w:rFonts w:ascii="Arial" w:eastAsia="Times New Roman" w:hAnsi="Arial" w:cs="Arial"/>
          <w:b/>
          <w:bCs/>
          <w:sz w:val="28"/>
          <w:szCs w:val="28"/>
          <w:lang w:eastAsia="es-MX"/>
        </w:rPr>
        <w:t xml:space="preserve">Narrativa de trimestre Julio-Sept: </w:t>
      </w:r>
      <w:r w:rsidRPr="008323DC">
        <w:rPr>
          <w:rFonts w:ascii="Arial" w:eastAsia="Times New Roman" w:hAnsi="Arial" w:cs="Arial"/>
          <w:sz w:val="24"/>
          <w:szCs w:val="24"/>
          <w:lang w:eastAsia="es-MX"/>
        </w:rPr>
        <w:t>Los casos atendidos por las Áreas de Trabajo Social, Psicología y Jurídico a los cuales se les brinda atención de servicio integral de la unidad, basados en el protocolo de atención; los que aceptaron el apoyo fueron un total (</w:t>
      </w:r>
      <w:r w:rsidRPr="008323DC">
        <w:rPr>
          <w:rFonts w:ascii="Arial" w:eastAsia="Times New Roman" w:hAnsi="Arial" w:cs="Arial"/>
          <w:b/>
          <w:bCs/>
          <w:sz w:val="24"/>
          <w:szCs w:val="24"/>
          <w:lang w:eastAsia="es-MX"/>
        </w:rPr>
        <w:t>16</w:t>
      </w:r>
      <w:r w:rsidRPr="008323DC">
        <w:rPr>
          <w:rFonts w:ascii="Arial" w:eastAsia="Times New Roman" w:hAnsi="Arial" w:cs="Arial"/>
          <w:sz w:val="24"/>
          <w:szCs w:val="24"/>
          <w:lang w:eastAsia="es-MX"/>
        </w:rPr>
        <w:t>) 8 Mujeres,3 Hombres, 3 Adolescentes y 2 niñas. De los cuales son usuarios de seguimiento que acuden sema</w:t>
      </w:r>
      <w:r>
        <w:rPr>
          <w:rFonts w:ascii="Arial" w:eastAsia="Times New Roman" w:hAnsi="Arial" w:cs="Arial"/>
          <w:sz w:val="24"/>
          <w:szCs w:val="24"/>
          <w:lang w:eastAsia="es-MX"/>
        </w:rPr>
        <w:t>na</w:t>
      </w:r>
      <w:r w:rsidRPr="008323DC">
        <w:rPr>
          <w:rFonts w:ascii="Arial" w:eastAsia="Times New Roman" w:hAnsi="Arial" w:cs="Arial"/>
          <w:sz w:val="24"/>
          <w:szCs w:val="24"/>
          <w:lang w:eastAsia="es-MX"/>
        </w:rPr>
        <w:t>lmente, así también usuarios derivados por otras instituciones como (CJM, INMUJERES, FISCALALIA, etc.), a las cuales se brinda</w:t>
      </w:r>
      <w:r w:rsidRPr="008323DC">
        <w:rPr>
          <w:rFonts w:ascii="Arial" w:eastAsia="Times New Roman" w:hAnsi="Arial" w:cs="Arial"/>
          <w:b/>
          <w:bCs/>
          <w:sz w:val="24"/>
          <w:szCs w:val="24"/>
          <w:lang w:eastAsia="es-MX"/>
        </w:rPr>
        <w:t xml:space="preserve"> 122 </w:t>
      </w:r>
      <w:r w:rsidRPr="008323DC">
        <w:rPr>
          <w:rFonts w:ascii="Arial" w:eastAsia="Times New Roman" w:hAnsi="Arial" w:cs="Arial"/>
          <w:sz w:val="24"/>
          <w:szCs w:val="24"/>
          <w:lang w:eastAsia="es-MX"/>
        </w:rPr>
        <w:t>seguimientos,</w:t>
      </w:r>
      <w:r w:rsidRPr="008323DC">
        <w:rPr>
          <w:rFonts w:ascii="Arial" w:eastAsia="Times New Roman" w:hAnsi="Arial" w:cs="Arial"/>
          <w:b/>
          <w:bCs/>
          <w:sz w:val="24"/>
          <w:szCs w:val="24"/>
          <w:lang w:eastAsia="es-MX"/>
        </w:rPr>
        <w:t xml:space="preserve"> 12</w:t>
      </w:r>
      <w:r w:rsidRPr="008323DC">
        <w:rPr>
          <w:rFonts w:ascii="Arial" w:eastAsia="Times New Roman" w:hAnsi="Arial" w:cs="Arial"/>
          <w:sz w:val="24"/>
          <w:szCs w:val="24"/>
          <w:lang w:eastAsia="es-MX"/>
        </w:rPr>
        <w:t xml:space="preserve"> canalizaciones, </w:t>
      </w:r>
      <w:r w:rsidRPr="008323DC">
        <w:rPr>
          <w:rFonts w:ascii="Arial" w:eastAsia="Times New Roman" w:hAnsi="Arial" w:cs="Arial"/>
          <w:b/>
          <w:bCs/>
          <w:sz w:val="24"/>
          <w:szCs w:val="24"/>
          <w:lang w:eastAsia="es-MX"/>
        </w:rPr>
        <w:t xml:space="preserve">123 </w:t>
      </w:r>
      <w:r w:rsidRPr="008323DC">
        <w:rPr>
          <w:rFonts w:ascii="Arial" w:eastAsia="Times New Roman" w:hAnsi="Arial" w:cs="Arial"/>
          <w:sz w:val="24"/>
          <w:szCs w:val="24"/>
          <w:lang w:eastAsia="es-MX"/>
        </w:rPr>
        <w:t xml:space="preserve">citatorios, </w:t>
      </w:r>
      <w:r w:rsidRPr="008323DC">
        <w:rPr>
          <w:rFonts w:ascii="Arial" w:eastAsia="Times New Roman" w:hAnsi="Arial" w:cs="Arial"/>
          <w:b/>
          <w:bCs/>
          <w:sz w:val="24"/>
          <w:szCs w:val="24"/>
          <w:lang w:eastAsia="es-MX"/>
        </w:rPr>
        <w:t>120</w:t>
      </w:r>
      <w:r w:rsidRPr="008323DC">
        <w:rPr>
          <w:rFonts w:ascii="Arial" w:eastAsia="Times New Roman" w:hAnsi="Arial" w:cs="Arial"/>
          <w:sz w:val="24"/>
          <w:szCs w:val="24"/>
          <w:lang w:eastAsia="es-MX"/>
        </w:rPr>
        <w:t xml:space="preserve"> visitas domiciliarias, </w:t>
      </w:r>
      <w:r w:rsidRPr="008323DC">
        <w:rPr>
          <w:rFonts w:ascii="Arial" w:eastAsia="Times New Roman" w:hAnsi="Arial" w:cs="Arial"/>
          <w:b/>
          <w:bCs/>
          <w:sz w:val="24"/>
          <w:szCs w:val="24"/>
          <w:lang w:eastAsia="es-MX"/>
        </w:rPr>
        <w:t>30</w:t>
      </w:r>
      <w:r w:rsidRPr="008323DC">
        <w:rPr>
          <w:rFonts w:ascii="Arial" w:eastAsia="Times New Roman" w:hAnsi="Arial" w:cs="Arial"/>
          <w:sz w:val="24"/>
          <w:szCs w:val="24"/>
          <w:lang w:eastAsia="es-MX"/>
        </w:rPr>
        <w:t xml:space="preserve"> asesorías, </w:t>
      </w:r>
      <w:r w:rsidRPr="008323DC">
        <w:rPr>
          <w:rFonts w:ascii="Arial" w:eastAsia="Times New Roman" w:hAnsi="Arial" w:cs="Arial"/>
          <w:b/>
          <w:bCs/>
          <w:sz w:val="24"/>
          <w:szCs w:val="24"/>
          <w:lang w:eastAsia="es-MX"/>
        </w:rPr>
        <w:t>49</w:t>
      </w:r>
      <w:r w:rsidRPr="008323DC">
        <w:rPr>
          <w:rFonts w:ascii="Arial" w:eastAsia="Times New Roman" w:hAnsi="Arial" w:cs="Arial"/>
          <w:sz w:val="24"/>
          <w:szCs w:val="24"/>
          <w:lang w:eastAsia="es-MX"/>
        </w:rPr>
        <w:t xml:space="preserve"> Orientaciones, se brindó escuela para padres con una asistencia de </w:t>
      </w:r>
      <w:r w:rsidRPr="008323DC">
        <w:rPr>
          <w:rFonts w:ascii="Arial" w:eastAsia="Times New Roman" w:hAnsi="Arial" w:cs="Arial"/>
          <w:b/>
          <w:bCs/>
          <w:sz w:val="24"/>
          <w:szCs w:val="24"/>
          <w:lang w:eastAsia="es-MX"/>
        </w:rPr>
        <w:t>3</w:t>
      </w:r>
      <w:r w:rsidRPr="008323DC">
        <w:rPr>
          <w:rFonts w:ascii="Arial" w:eastAsia="Times New Roman" w:hAnsi="Arial" w:cs="Arial"/>
          <w:sz w:val="24"/>
          <w:szCs w:val="24"/>
          <w:lang w:eastAsia="es-MX"/>
        </w:rPr>
        <w:t xml:space="preserve"> madres de familia cada semana, terapia grupal </w:t>
      </w:r>
      <w:r w:rsidRPr="008323DC">
        <w:rPr>
          <w:rFonts w:ascii="Arial" w:eastAsia="Times New Roman" w:hAnsi="Arial" w:cs="Arial"/>
          <w:b/>
          <w:bCs/>
          <w:sz w:val="24"/>
          <w:szCs w:val="24"/>
          <w:lang w:eastAsia="es-MX"/>
        </w:rPr>
        <w:t>29</w:t>
      </w:r>
      <w:r w:rsidRPr="008323DC">
        <w:rPr>
          <w:rFonts w:ascii="Arial" w:eastAsia="Times New Roman" w:hAnsi="Arial" w:cs="Arial"/>
          <w:sz w:val="24"/>
          <w:szCs w:val="24"/>
          <w:lang w:eastAsia="es-MX"/>
        </w:rPr>
        <w:t xml:space="preserve"> mujeres y niños cada semana. Por otra parte, se trabaja con la población de las siguientes colonias: El campesino </w:t>
      </w:r>
      <w:r w:rsidRPr="008323DC">
        <w:rPr>
          <w:rFonts w:ascii="Arial" w:eastAsia="Times New Roman" w:hAnsi="Arial" w:cs="Arial"/>
          <w:b/>
          <w:bCs/>
          <w:sz w:val="24"/>
          <w:szCs w:val="24"/>
          <w:lang w:eastAsia="es-MX"/>
        </w:rPr>
        <w:t>14</w:t>
      </w:r>
      <w:r w:rsidRPr="008323DC">
        <w:rPr>
          <w:rFonts w:ascii="Arial" w:eastAsia="Times New Roman" w:hAnsi="Arial" w:cs="Arial"/>
          <w:sz w:val="24"/>
          <w:szCs w:val="24"/>
          <w:lang w:eastAsia="es-MX"/>
        </w:rPr>
        <w:t xml:space="preserve">, Haciendas del Real </w:t>
      </w:r>
      <w:r w:rsidRPr="008323DC">
        <w:rPr>
          <w:rFonts w:ascii="Arial" w:eastAsia="Times New Roman" w:hAnsi="Arial" w:cs="Arial"/>
          <w:b/>
          <w:bCs/>
          <w:sz w:val="24"/>
          <w:szCs w:val="24"/>
          <w:lang w:eastAsia="es-MX"/>
        </w:rPr>
        <w:t>16</w:t>
      </w:r>
      <w:r w:rsidRPr="008323DC">
        <w:rPr>
          <w:rFonts w:ascii="Arial" w:eastAsia="Times New Roman" w:hAnsi="Arial" w:cs="Arial"/>
          <w:sz w:val="24"/>
          <w:szCs w:val="24"/>
          <w:lang w:eastAsia="es-MX"/>
        </w:rPr>
        <w:t xml:space="preserve">, Lomas del 4 </w:t>
      </w:r>
      <w:r w:rsidRPr="008323DC">
        <w:rPr>
          <w:rFonts w:ascii="Arial" w:eastAsia="Times New Roman" w:hAnsi="Arial" w:cs="Arial"/>
          <w:b/>
          <w:bCs/>
          <w:sz w:val="24"/>
          <w:szCs w:val="24"/>
          <w:lang w:eastAsia="es-MX"/>
        </w:rPr>
        <w:t>5</w:t>
      </w:r>
      <w:r w:rsidRPr="008323DC">
        <w:rPr>
          <w:rFonts w:ascii="Arial" w:eastAsia="Times New Roman" w:hAnsi="Arial" w:cs="Arial"/>
          <w:sz w:val="24"/>
          <w:szCs w:val="24"/>
          <w:lang w:eastAsia="es-MX"/>
        </w:rPr>
        <w:t xml:space="preserve">, Toluquilla </w:t>
      </w:r>
      <w:r w:rsidRPr="008323DC">
        <w:rPr>
          <w:rFonts w:ascii="Arial" w:eastAsia="Times New Roman" w:hAnsi="Arial" w:cs="Arial"/>
          <w:b/>
          <w:bCs/>
          <w:sz w:val="24"/>
          <w:szCs w:val="24"/>
          <w:lang w:eastAsia="es-MX"/>
        </w:rPr>
        <w:t>7</w:t>
      </w:r>
      <w:r w:rsidRPr="008323DC">
        <w:rPr>
          <w:rFonts w:ascii="Arial" w:eastAsia="Times New Roman" w:hAnsi="Arial" w:cs="Arial"/>
          <w:sz w:val="24"/>
          <w:szCs w:val="24"/>
          <w:lang w:eastAsia="es-MX"/>
        </w:rPr>
        <w:t xml:space="preserve">, La Duraznera </w:t>
      </w:r>
      <w:r w:rsidRPr="008323DC">
        <w:rPr>
          <w:rFonts w:ascii="Arial" w:eastAsia="Times New Roman" w:hAnsi="Arial" w:cs="Arial"/>
          <w:b/>
          <w:bCs/>
          <w:sz w:val="24"/>
          <w:szCs w:val="24"/>
          <w:lang w:eastAsia="es-MX"/>
        </w:rPr>
        <w:t>3</w:t>
      </w:r>
      <w:r w:rsidRPr="008323DC">
        <w:rPr>
          <w:rFonts w:ascii="Arial" w:eastAsia="Times New Roman" w:hAnsi="Arial" w:cs="Arial"/>
          <w:sz w:val="24"/>
          <w:szCs w:val="24"/>
          <w:lang w:eastAsia="es-MX"/>
        </w:rPr>
        <w:t xml:space="preserve">, Jardines de Santa María </w:t>
      </w:r>
      <w:r w:rsidRPr="008323DC">
        <w:rPr>
          <w:rFonts w:ascii="Arial" w:eastAsia="Times New Roman" w:hAnsi="Arial" w:cs="Arial"/>
          <w:b/>
          <w:bCs/>
          <w:sz w:val="24"/>
          <w:szCs w:val="24"/>
          <w:lang w:eastAsia="es-MX"/>
        </w:rPr>
        <w:t>14</w:t>
      </w:r>
      <w:r w:rsidRPr="008323DC">
        <w:rPr>
          <w:rFonts w:ascii="Arial" w:eastAsia="Times New Roman" w:hAnsi="Arial" w:cs="Arial"/>
          <w:sz w:val="24"/>
          <w:szCs w:val="24"/>
          <w:lang w:eastAsia="es-MX"/>
        </w:rPr>
        <w:t>, Loma Bonita</w:t>
      </w:r>
      <w:r w:rsidRPr="008323DC">
        <w:rPr>
          <w:rFonts w:ascii="Arial" w:eastAsia="Times New Roman" w:hAnsi="Arial" w:cs="Arial"/>
          <w:b/>
          <w:bCs/>
          <w:sz w:val="24"/>
          <w:szCs w:val="24"/>
          <w:lang w:eastAsia="es-MX"/>
        </w:rPr>
        <w:t xml:space="preserve"> 11</w:t>
      </w:r>
      <w:r w:rsidRPr="008323DC">
        <w:rPr>
          <w:rFonts w:ascii="Arial" w:eastAsia="Times New Roman" w:hAnsi="Arial" w:cs="Arial"/>
          <w:sz w:val="24"/>
          <w:szCs w:val="24"/>
          <w:lang w:eastAsia="es-MX"/>
        </w:rPr>
        <w:t xml:space="preserve"> Cerro del 4 </w:t>
      </w:r>
      <w:r w:rsidRPr="008323DC">
        <w:rPr>
          <w:rFonts w:ascii="Arial" w:eastAsia="Times New Roman" w:hAnsi="Arial" w:cs="Arial"/>
          <w:b/>
          <w:bCs/>
          <w:sz w:val="24"/>
          <w:szCs w:val="24"/>
          <w:lang w:eastAsia="es-MX"/>
        </w:rPr>
        <w:t>8</w:t>
      </w:r>
      <w:r w:rsidRPr="008323DC">
        <w:rPr>
          <w:rFonts w:ascii="Arial" w:eastAsia="Times New Roman" w:hAnsi="Arial" w:cs="Arial"/>
          <w:sz w:val="24"/>
          <w:szCs w:val="24"/>
          <w:lang w:eastAsia="es-MX"/>
        </w:rPr>
        <w:t xml:space="preserve">, El Sauz </w:t>
      </w:r>
      <w:r w:rsidRPr="008323DC">
        <w:rPr>
          <w:rFonts w:ascii="Arial" w:eastAsia="Times New Roman" w:hAnsi="Arial" w:cs="Arial"/>
          <w:b/>
          <w:bCs/>
          <w:sz w:val="24"/>
          <w:szCs w:val="24"/>
          <w:lang w:eastAsia="es-MX"/>
        </w:rPr>
        <w:t>5</w:t>
      </w:r>
      <w:r w:rsidRPr="008323DC">
        <w:rPr>
          <w:rFonts w:ascii="Arial" w:eastAsia="Times New Roman" w:hAnsi="Arial" w:cs="Arial"/>
          <w:sz w:val="24"/>
          <w:szCs w:val="24"/>
          <w:lang w:eastAsia="es-MX"/>
        </w:rPr>
        <w:t xml:space="preserve">, El vergel </w:t>
      </w:r>
      <w:r w:rsidRPr="008323DC">
        <w:rPr>
          <w:rFonts w:ascii="Arial" w:eastAsia="Times New Roman" w:hAnsi="Arial" w:cs="Arial"/>
          <w:b/>
          <w:bCs/>
          <w:sz w:val="24"/>
          <w:szCs w:val="24"/>
          <w:lang w:eastAsia="es-MX"/>
        </w:rPr>
        <w:t>4, Santa</w:t>
      </w:r>
      <w:r w:rsidRPr="008323DC">
        <w:rPr>
          <w:rFonts w:ascii="Arial" w:eastAsia="Times New Roman" w:hAnsi="Arial" w:cs="Arial"/>
          <w:sz w:val="24"/>
          <w:szCs w:val="24"/>
          <w:lang w:eastAsia="es-MX"/>
        </w:rPr>
        <w:t xml:space="preserve"> Anita </w:t>
      </w:r>
      <w:r w:rsidRPr="008323DC">
        <w:rPr>
          <w:rFonts w:ascii="Arial" w:eastAsia="Times New Roman" w:hAnsi="Arial" w:cs="Arial"/>
          <w:b/>
          <w:bCs/>
          <w:sz w:val="24"/>
          <w:szCs w:val="24"/>
          <w:lang w:eastAsia="es-MX"/>
        </w:rPr>
        <w:t>3</w:t>
      </w:r>
      <w:r w:rsidRPr="008323DC">
        <w:rPr>
          <w:rFonts w:ascii="Arial" w:eastAsia="Times New Roman" w:hAnsi="Arial" w:cs="Arial"/>
          <w:sz w:val="24"/>
          <w:szCs w:val="24"/>
          <w:lang w:eastAsia="es-MX"/>
        </w:rPr>
        <w:t xml:space="preserve">, Las Huertas </w:t>
      </w:r>
      <w:r w:rsidRPr="008323DC">
        <w:rPr>
          <w:rFonts w:ascii="Arial" w:eastAsia="Times New Roman" w:hAnsi="Arial" w:cs="Arial"/>
          <w:b/>
          <w:bCs/>
          <w:sz w:val="24"/>
          <w:szCs w:val="24"/>
          <w:lang w:eastAsia="es-MX"/>
        </w:rPr>
        <w:t>6</w:t>
      </w:r>
      <w:r w:rsidRPr="008323DC">
        <w:rPr>
          <w:rFonts w:ascii="Arial" w:eastAsia="Times New Roman" w:hAnsi="Arial" w:cs="Arial"/>
          <w:sz w:val="24"/>
          <w:szCs w:val="24"/>
          <w:lang w:eastAsia="es-MX"/>
        </w:rPr>
        <w:t>, Fco</w:t>
      </w:r>
      <w:r>
        <w:rPr>
          <w:rFonts w:ascii="Arial" w:eastAsia="Times New Roman" w:hAnsi="Arial" w:cs="Arial"/>
          <w:sz w:val="24"/>
          <w:szCs w:val="24"/>
          <w:lang w:eastAsia="es-MX"/>
        </w:rPr>
        <w:t>.</w:t>
      </w:r>
      <w:r w:rsidRPr="008323DC">
        <w:rPr>
          <w:rFonts w:ascii="Arial" w:eastAsia="Times New Roman" w:hAnsi="Arial" w:cs="Arial"/>
          <w:sz w:val="24"/>
          <w:szCs w:val="24"/>
          <w:lang w:eastAsia="es-MX"/>
        </w:rPr>
        <w:t xml:space="preserve"> I. </w:t>
      </w:r>
      <w:r w:rsidRPr="008323DC">
        <w:rPr>
          <w:rFonts w:ascii="Arial" w:eastAsia="Times New Roman" w:hAnsi="Arial" w:cs="Arial"/>
          <w:sz w:val="24"/>
          <w:szCs w:val="24"/>
          <w:lang w:eastAsia="es-MX"/>
        </w:rPr>
        <w:t xml:space="preserve">Madero </w:t>
      </w:r>
      <w:r w:rsidRPr="008323DC">
        <w:rPr>
          <w:rFonts w:ascii="Arial" w:eastAsia="Times New Roman" w:hAnsi="Arial" w:cs="Arial"/>
          <w:b/>
          <w:bCs/>
          <w:sz w:val="24"/>
          <w:szCs w:val="24"/>
          <w:lang w:eastAsia="es-MX"/>
        </w:rPr>
        <w:t>7</w:t>
      </w:r>
      <w:r w:rsidRPr="008323DC">
        <w:rPr>
          <w:rFonts w:ascii="Arial" w:eastAsia="Times New Roman" w:hAnsi="Arial" w:cs="Arial"/>
          <w:sz w:val="24"/>
          <w:szCs w:val="24"/>
          <w:lang w:eastAsia="es-MX"/>
        </w:rPr>
        <w:t>,</w:t>
      </w:r>
      <w:r w:rsidRPr="008323DC">
        <w:rPr>
          <w:rFonts w:ascii="Arial" w:eastAsia="Times New Roman" w:hAnsi="Arial" w:cs="Arial"/>
          <w:b/>
          <w:bCs/>
          <w:sz w:val="24"/>
          <w:szCs w:val="24"/>
          <w:lang w:eastAsia="es-MX"/>
        </w:rPr>
        <w:t xml:space="preserve"> </w:t>
      </w:r>
      <w:proofErr w:type="spellStart"/>
      <w:r w:rsidRPr="008323DC">
        <w:rPr>
          <w:rFonts w:ascii="Arial" w:eastAsia="Times New Roman" w:hAnsi="Arial" w:cs="Arial"/>
          <w:sz w:val="24"/>
          <w:szCs w:val="24"/>
          <w:lang w:eastAsia="es-MX"/>
        </w:rPr>
        <w:t>Miavalle</w:t>
      </w:r>
      <w:proofErr w:type="spellEnd"/>
      <w:r w:rsidRPr="008323DC">
        <w:rPr>
          <w:rFonts w:ascii="Arial" w:eastAsia="Times New Roman" w:hAnsi="Arial" w:cs="Arial"/>
          <w:b/>
          <w:bCs/>
          <w:sz w:val="24"/>
          <w:szCs w:val="24"/>
          <w:lang w:eastAsia="es-MX"/>
        </w:rPr>
        <w:t xml:space="preserve"> 7</w:t>
      </w:r>
      <w:r w:rsidRPr="008323DC">
        <w:rPr>
          <w:rFonts w:ascii="Arial" w:eastAsia="Times New Roman" w:hAnsi="Arial" w:cs="Arial"/>
          <w:sz w:val="24"/>
          <w:szCs w:val="24"/>
          <w:lang w:eastAsia="es-MX"/>
        </w:rPr>
        <w:t xml:space="preserve">, Buenos Aires </w:t>
      </w:r>
      <w:r w:rsidRPr="008323DC">
        <w:rPr>
          <w:rFonts w:ascii="Arial" w:eastAsia="Times New Roman" w:hAnsi="Arial" w:cs="Arial"/>
          <w:b/>
          <w:bCs/>
          <w:sz w:val="24"/>
          <w:szCs w:val="24"/>
          <w:lang w:eastAsia="es-MX"/>
        </w:rPr>
        <w:t>5</w:t>
      </w:r>
      <w:r w:rsidRPr="008323DC">
        <w:rPr>
          <w:rFonts w:ascii="Arial" w:eastAsia="Times New Roman" w:hAnsi="Arial" w:cs="Arial"/>
          <w:sz w:val="24"/>
          <w:szCs w:val="24"/>
          <w:lang w:eastAsia="es-MX"/>
        </w:rPr>
        <w:t>.</w:t>
      </w:r>
    </w:p>
    <w:p w:rsidR="00883A85" w:rsidRDefault="00883A85" w:rsidP="00883A85">
      <w:pPr>
        <w:jc w:val="center"/>
        <w:rPr>
          <w:b/>
          <w:bCs/>
        </w:rPr>
      </w:pPr>
      <w:r w:rsidRPr="005956AF">
        <w:rPr>
          <w:lang w:val="es-ES"/>
        </w:rPr>
        <w:tab/>
      </w:r>
      <w:r w:rsidRPr="005956AF">
        <w:rPr>
          <w:lang w:val="es-ES"/>
        </w:rPr>
        <w:tab/>
      </w:r>
      <w:r w:rsidRPr="005956AF">
        <w:rPr>
          <w:lang w:val="es-ES"/>
        </w:rPr>
        <w:tab/>
      </w:r>
      <w:r w:rsidRPr="003660F1">
        <w:rPr>
          <w:lang w:val="es-ES"/>
        </w:rPr>
        <w:tab/>
      </w:r>
    </w:p>
    <w:p w:rsidR="00AA3448" w:rsidRDefault="00AA3448" w:rsidP="00AA3448">
      <w:pPr>
        <w:jc w:val="center"/>
        <w:rPr>
          <w:b/>
          <w:bCs/>
        </w:rPr>
      </w:pPr>
      <w:r w:rsidRPr="009D7829">
        <w:rPr>
          <w:b/>
          <w:bCs/>
        </w:rPr>
        <w:t>PROTECCIÓN DE NIÑAS, NIÑOS Y ADOLESCENTES</w:t>
      </w:r>
    </w:p>
    <w:p w:rsidR="00883A85" w:rsidRPr="00883A85" w:rsidRDefault="00883A85" w:rsidP="00883A85">
      <w:r w:rsidRPr="008323DC">
        <w:rPr>
          <w:b/>
          <w:bCs/>
        </w:rPr>
        <w:t>Narrativa de trimestre Julio-sept:</w:t>
      </w:r>
      <w:r w:rsidRPr="008323DC">
        <w:t xml:space="preserve"> La DPPNNA atendieron 68 expedientes de asesoría Legal y 11 de Asesoría de Trabajo social de primera vez.  Se asignaron número de expediente a 87 reportes de maltrato, llevando a cabo 76 visitas domiciliarias de primera vez y 15 de seguimiento, con un registro de expedientes atendidos de 37 reportes. Se efectuaron 68 impresiones diagnósticas y se recibieron 204 oficios en donde nos derivan casos para apoyo e intervención de esta Delegación. Los casos atendidos de las colonias prioritarias por las áreas de trabajo social, psicología y jurídico a los cuales brindaron atención de servicio integral de la unidad, basados en el protocolo fueron 126.     </w:t>
      </w:r>
    </w:p>
    <w:p w:rsidR="009C2AED" w:rsidRDefault="00AA3448" w:rsidP="009C2AED">
      <w:pPr>
        <w:jc w:val="center"/>
      </w:pPr>
      <w:r w:rsidRPr="009D7829">
        <w:rPr>
          <w:b/>
          <w:bCs/>
        </w:rPr>
        <w:t>PREVERP</w:t>
      </w:r>
      <w:r w:rsidRPr="009D7829">
        <w:t xml:space="preserve">  </w:t>
      </w:r>
    </w:p>
    <w:p w:rsidR="009C2AED" w:rsidRDefault="00AA3448" w:rsidP="009C2AED">
      <w:pPr>
        <w:jc w:val="center"/>
      </w:pPr>
      <w:r w:rsidRPr="009D7829">
        <w:t xml:space="preserve">  </w:t>
      </w:r>
      <w:r w:rsidR="009C2AED">
        <w:t xml:space="preserve">El proyecto “crecer sin violencia” en coordinación con el H: Ayto. de Tlaquepaque se aplica la ""ESTRATEGIA EMERGENTE DE INTERVENCIÓN PARA EL FORTALECIMIENTO DEL TEJIDO SOCIAL Y LA PREVENCIÓN DE LAS VIOLENCIAS EN EL CERRO DEL CUATRO"" con el Proyecto Crecer sin </w:t>
      </w:r>
      <w:r w:rsidR="009C2AED">
        <w:lastRenderedPageBreak/>
        <w:t xml:space="preserve">violencia en su modalidad  “DIF-VACACIONES CERRO DEL CUATRO, PORQUE ES POSIBLE….CRECER SIN  VIOLENCIA”, con el Objetivo de ""Ofrecer a las niñas, niños y adolescentes, que viven en ocho colonias del polígono del Cerro del Cuatro alternativas de prevención y prevención reforzadas con actividades físicas y recreativas para fortalecer y favorecer la convivencia pacífica, el desarrollo de habilidades sociales y la cultura de la denuncia. COLONIAS ATENDIDAS: Col. Francisco I. Madero: día 8 de Julio 2024, salón de la Parroquia Cruz del Apostolado (Victoriano Huerta No. 371) , Col. Jardines de Santa María: Martes 09 de Julio, salón de la Parroquia San Juan Bautista (Calle Baile No. 61),Col. Buenos Aires: Miércoles 10 de Julio, Parroquia del Sagrado Corazón, salón de la Casa Pastoral (Manuel J. García No. 31), Col. Guayabitos: Jueves 11 de Julio, Local particular (Calle Benito Juárez No. 548), Col. Arroyo de las Flores: 15 de Julio, Mercado Francisco Márquez entre las calles Rosa de Castilla y Gladiola,  Balcones de Santa María: 16 de Julio, Capilla de la Bienaventuranza (Calle Paseo de la Serenata No. 6005); Col. Nueva Santa María: Miércoles 17 de Julio, Salón al lado del comedor parroquial (Calle 8 de  Julio 3086) POBLACIÓN ATENDIDA: 33 Niñas, 51 niños, 16 adolescentes mujeres y 17 adolescentes hombres (TOTAL 117) de 4 a 15 años de edad. HORARIO: </w:t>
      </w:r>
      <w:r w:rsidR="00F85680">
        <w:t>10:00 a 12:20</w:t>
      </w:r>
      <w:r w:rsidR="009C2AED">
        <w:t xml:space="preserve"> p.m. Fungiendo como FACILITADORES: Pablo Cervantes Rodríguez, Ruth Noemí Núñez </w:t>
      </w:r>
      <w:r w:rsidR="00F85680">
        <w:t>León; AUXILIAR</w:t>
      </w:r>
      <w:r w:rsidR="009C2AED">
        <w:t xml:space="preserve">: José Humberto Fierros Ramírez; PRACTICANTE:  Adriana Padilla Hernández. </w:t>
      </w:r>
      <w:proofErr w:type="spellStart"/>
      <w:r w:rsidR="009C2AED">
        <w:t>Aperturando</w:t>
      </w:r>
      <w:proofErr w:type="spellEnd"/>
      <w:r w:rsidR="009C2AED">
        <w:t xml:space="preserve"> esta misma intervención a 2 colonias más, en los Centros de Desarrollo Comunitario: Col. Los </w:t>
      </w:r>
      <w:r w:rsidR="00F85680">
        <w:t>Olivos y</w:t>
      </w:r>
      <w:r w:rsidR="009C2AED">
        <w:t xml:space="preserve"> Col. Santa María Tequepexpan, atendiéndose en estas comunidades a 40 niñas, niños y adolescentes. Cabe mencionar que dicho taller se llevó a cabo con dinámicas de presentación, </w:t>
      </w:r>
      <w:r w:rsidR="00F85680">
        <w:t>expositivitas</w:t>
      </w:r>
      <w:r w:rsidR="009C2AED">
        <w:t xml:space="preserve">, proyectivas, de análisis y recreación, para lo cual se diseñó una presentación general con 8 puntos de </w:t>
      </w:r>
      <w:r w:rsidR="00883A85">
        <w:t>intervención, a</w:t>
      </w:r>
      <w:r w:rsidR="009C2AED">
        <w:t xml:space="preserve"> través de la cual se impactó en la concientización, coordinación y guía de las actividades. Previo a la asistencia a cada comunidad se coordinó vía telefónica con cada una de las 10 personas responsables en las comunidades intervenidas promoviendo la coordinación y trabajo en equipo, selección del material a utilizar, diseño de dinámicas, elaboración de la presentación, solicitud de material consumible, petición de vehículo. En algunas comunidades se pudo contar además con el momento de compartir el pan, ya que se obsequió pastel, gelatina, bolos y a todos se le proporcionaron folletos preventivos. Por otra </w:t>
      </w:r>
      <w:r w:rsidR="00883A85">
        <w:t>parte,</w:t>
      </w:r>
      <w:r w:rsidR="009C2AED">
        <w:t xml:space="preserve"> se elabora y </w:t>
      </w:r>
      <w:r w:rsidR="00883A85">
        <w:t>entrega SICAT</w:t>
      </w:r>
      <w:r w:rsidR="009C2AED">
        <w:t xml:space="preserve">´S del caso de Juana y su familia canalizándose a la </w:t>
      </w:r>
      <w:proofErr w:type="spellStart"/>
      <w:r w:rsidR="009C2AED">
        <w:t>PPNNyA</w:t>
      </w:r>
      <w:proofErr w:type="spellEnd"/>
      <w:r w:rsidR="009C2AED">
        <w:t xml:space="preserve">, así mismo, se canaliza a la señora Irma para registro extemporáneo de su nieta. Se asiste a clases virtuales del Diplomado de Prevención de Riesgos Psicosociales, el cual se concluye satisfactoriamente, así mismo, se asiste a la capacitación de ""El delito: Indicadores de trata de personas"" en el Centro Cultural el Refugio.  Durante </w:t>
      </w:r>
      <w:r w:rsidR="00883A85">
        <w:t>este</w:t>
      </w:r>
      <w:r w:rsidR="009C2AED">
        <w:t xml:space="preserve"> mes, se apoya a Trabajo Social en la repartición de despensas del programa Tlaquepaque Alimenta en la colonia Toluquilla.  Se imparten talleres de Prevención de Trata de Personas en 3 colonias, Buenos Aires, Francisco I. Madero y La Nueva Santa María, dos sesiones a cada grupo dando un total de 136 personas atendidas. Se realizan 3 ventas de bazar en el CDC de La Colonia San Pedrito.  Se tuvo una Capacitación por parte de Fin de Esclavitud en el Centro Cultural El Refugio como parte de las actividades de Julio Azul; así mismo acudí a la develación del mural ""Se trata de personas, se trata de nosotros"" en la colonia Haciendas del Real.</w:t>
      </w:r>
    </w:p>
    <w:p w:rsidR="00AA3448" w:rsidRDefault="009C2AED" w:rsidP="009C2AED">
      <w:pPr>
        <w:jc w:val="center"/>
      </w:pPr>
      <w:r>
        <w:t xml:space="preserve">Durante el mes de agosto se trabajó con un grupo de Mujeres adultas en el CDC de Buenos Aires en donde se les impartieron los temas; Etapas del desarrollo Humanos en dos sesiones, Tengo </w:t>
      </w:r>
      <w:r>
        <w:lastRenderedPageBreak/>
        <w:t>Derechos y también deberes en una sesión, y Abuso Sexual Infantil en una sesión.  éstos a través de talleres y la proyección de videos de apoyo según el tema lo haya requerido.  Así mismo, acudí a la conferencia Inaugural de la Semana De la Lactancia Materna en el cine foro del Centro Cultural El Refugio.  Los martes del mes, se realizó venta de bazar en el CDC de la colonia San Pedrito. Cumpliendo con el objetivo del proyecto que es "facilitar espacios…. donde se facilite el desarrollo de habilidades y adquisición de herramientas psicoemocionales…" es que se acude a 3 comunidades de manera reiterativa para cubrir un mayor número de población, de tal manera que en el C.D.C. Buenos Aires se atendieron 43 mujeres adultas y 9 niñas, niños y adolescentes, mientras que en el C.D.C. Canal 58 se atendieron 35 mujeres adultas y 19 niñas, niños y adolescentes. Se brindaron 4 orientaciones sociofamiliares individuales y 4 canalizaciones: 2 a la Procuraduría de Protección a niñas, niños y adolescentes, 1 a psicología y 1 a trabajo social, así como a la Col. Guadalupe Ejidal 35 niñas, niños y adolescentes. Se asiste a evento de cierre de la "Estrategia emergente de intervención para el fortalecimiento del tejido social y prevención de las violencias en el Cerro del Cuatro".</w:t>
      </w:r>
    </w:p>
    <w:p w:rsidR="009C2AED" w:rsidRDefault="009C2AED" w:rsidP="009C2AED">
      <w:pPr>
        <w:rPr>
          <w:lang w:val="es-ES"/>
        </w:rPr>
      </w:pPr>
      <w:r>
        <w:rPr>
          <w:lang w:val="es-ES"/>
        </w:rPr>
        <w:t>Con el proyecto “</w:t>
      </w:r>
      <w:r w:rsidRPr="003660F1">
        <w:rPr>
          <w:lang w:val="es-ES"/>
        </w:rPr>
        <w:t>Prevención del embarazo adolescente</w:t>
      </w:r>
      <w:r>
        <w:rPr>
          <w:lang w:val="es-ES"/>
        </w:rPr>
        <w:t xml:space="preserve">” que tiene </w:t>
      </w:r>
      <w:r w:rsidRPr="00680221">
        <w:rPr>
          <w:lang w:val="es-ES"/>
        </w:rPr>
        <w:t>objetivo de concientizar y prevenir la trata de personas, se trabaja en conjunto con el H. ayuntamiento de Tlaquepaque y la fundación corazón azul la campaña JULIO AZUL, en la cual, se dieron charlas preventivas de esta temática en los siguientes CDCS  Buenos aires los días 11 y 16 de julio  con la participación de 35 asistentes, al CDC Francisco I. Madero los días 17 y 19 de julio con la participación de 46 asistentes y al CDC de la colonia Nueva Santa María los días 22 y 24 de julio con una participación de 55 asistentes, así mismo, se acude a la develación del mural EL AVE QUE SUEÑA CON LA LIBERTAD como cierre de esta campaña el día 30 de julio en el fraccionamiento Hacienda del real. Se acude a apoyar a campamento los días 27, 28 y 29 de julio al municipio de Tuxpan, Jalisco. Se trabaja en la elaboración de tríptico informativo de prevención de embarazo adolescente como parte de los preparativos del día mundial de este. Se acude a apoyar a la venta de bazar al CDC de San Pedrito.</w:t>
      </w:r>
    </w:p>
    <w:p w:rsidR="009C2AED" w:rsidRDefault="009C2AED" w:rsidP="009C2AED">
      <w:pPr>
        <w:rPr>
          <w:lang w:val="es-ES"/>
        </w:rPr>
      </w:pPr>
      <w:r w:rsidRPr="00680221">
        <w:rPr>
          <w:lang w:val="es-ES"/>
        </w:rPr>
        <w:t xml:space="preserve">Durante </w:t>
      </w:r>
      <w:r>
        <w:rPr>
          <w:lang w:val="es-ES"/>
        </w:rPr>
        <w:t>el mes de julio</w:t>
      </w:r>
      <w:r w:rsidRPr="00680221">
        <w:rPr>
          <w:lang w:val="es-ES"/>
        </w:rPr>
        <w:t xml:space="preserve"> se trabajó en las colonias La Cofradía en el Centro Comunitario </w:t>
      </w:r>
      <w:proofErr w:type="spellStart"/>
      <w:r w:rsidRPr="00680221">
        <w:rPr>
          <w:lang w:val="es-ES"/>
        </w:rPr>
        <w:t>Xamixtli</w:t>
      </w:r>
      <w:proofErr w:type="spellEnd"/>
      <w:r w:rsidRPr="00680221">
        <w:rPr>
          <w:lang w:val="es-ES"/>
        </w:rPr>
        <w:t xml:space="preserve"> y en la colonia San Martin en los Campos Sarita en las cuales se acude los días martes y jueves cada 15 días, donde se trabajó con las madres de familia de las cuales acudieron 25 personas y se les impartieron  los temas del Plato del Buen Comer con la finalidad de concientizar de los beneficios de la buena nutrición y valor nutritivo de los alimentos y Tipos de Violencia con la finalidad de identificar cada uno de los tipos de violencia y sus consecuencias físicas o emocionales, al finalizar los temas  se realiza una actividad de juegos deportivos con ellas mismas, para lograr que tengan un poco más de actividad y condición física.                                                                                                                                                                                                                                                                                                                                                                                  Con los Niños, Niñas y Adolescentes se continúa trabajando con entrenamientos de fútbol y continuar logrando a que tengan una mejor condición física y coordinación de valor y entender las técnicas para practicar el futbol donde acudieron durante este mes entre ambas colonias 63 NNA.</w:t>
      </w:r>
    </w:p>
    <w:p w:rsidR="009C2AED" w:rsidRDefault="009C2AED" w:rsidP="009C2AED">
      <w:pPr>
        <w:jc w:val="center"/>
        <w:rPr>
          <w:lang w:val="es-ES"/>
        </w:rPr>
      </w:pPr>
      <w:r w:rsidRPr="003660F1">
        <w:rPr>
          <w:lang w:val="es-ES"/>
        </w:rPr>
        <w:t xml:space="preserve">En </w:t>
      </w:r>
      <w:r>
        <w:rPr>
          <w:lang w:val="es-ES"/>
        </w:rPr>
        <w:t>el mes de agosto</w:t>
      </w:r>
      <w:r w:rsidRPr="003660F1">
        <w:rPr>
          <w:lang w:val="es-ES"/>
        </w:rPr>
        <w:t xml:space="preserve"> se trabajó con madres de familia en el CDC de la colonia buenos aires con la temática como hablar con mis hijos de sexualidad y con adolescentes la temática de riesgos y consecuencias de un embarazo adolescente, llevando como material expositivo los bebes </w:t>
      </w:r>
      <w:r w:rsidRPr="003660F1">
        <w:rPr>
          <w:lang w:val="es-ES"/>
        </w:rPr>
        <w:lastRenderedPageBreak/>
        <w:t>electrónicos y el simulador de vientre de embarazo como actividad, así como la repartición de preservativos masculinos. Se comenzó con los preparativos para el día mundial de la prevención de embarazo adolescente, gestionando en la editorial de la U de G la donación de libros bebe en proceso y en la empresa UNILEVER la donación de toallas sanitarias femeninas.</w:t>
      </w:r>
      <w:r w:rsidRPr="003660F1">
        <w:rPr>
          <w:lang w:val="es-ES"/>
        </w:rPr>
        <w:tab/>
      </w:r>
    </w:p>
    <w:p w:rsidR="00F85680" w:rsidRPr="009C2AED" w:rsidRDefault="00F85680" w:rsidP="009C2AED">
      <w:pPr>
        <w:jc w:val="center"/>
        <w:rPr>
          <w:b/>
          <w:bCs/>
        </w:rPr>
      </w:pPr>
      <w:r>
        <w:rPr>
          <w:lang w:val="es-ES"/>
        </w:rPr>
        <w:t xml:space="preserve">Con el proyecto </w:t>
      </w:r>
      <w:r w:rsidRPr="003660F1">
        <w:rPr>
          <w:lang w:val="es-ES"/>
        </w:rPr>
        <w:t>"Entrenando aprendo y prevengo"</w:t>
      </w:r>
      <w:r>
        <w:rPr>
          <w:lang w:val="es-ES"/>
        </w:rPr>
        <w:t xml:space="preserve"> d</w:t>
      </w:r>
      <w:r w:rsidRPr="003660F1">
        <w:rPr>
          <w:lang w:val="es-ES"/>
        </w:rPr>
        <w:t xml:space="preserve">urante </w:t>
      </w:r>
      <w:r>
        <w:rPr>
          <w:lang w:val="es-ES"/>
        </w:rPr>
        <w:t>julio se</w:t>
      </w:r>
      <w:r w:rsidRPr="003660F1">
        <w:rPr>
          <w:lang w:val="es-ES"/>
        </w:rPr>
        <w:t xml:space="preserve"> trabajó en las colonias La Cofradía en el Centro Comunitario </w:t>
      </w:r>
      <w:proofErr w:type="spellStart"/>
      <w:r w:rsidRPr="003660F1">
        <w:rPr>
          <w:lang w:val="es-ES"/>
        </w:rPr>
        <w:t>Xamixtli</w:t>
      </w:r>
      <w:proofErr w:type="spellEnd"/>
      <w:r w:rsidRPr="003660F1">
        <w:rPr>
          <w:lang w:val="es-ES"/>
        </w:rPr>
        <w:t xml:space="preserve"> y en la colonia San Martin en los Campos Sarita en las cuales se acude los días martes y jueves cada 15 días, donde se trabajó con las madres de familia de las cuales acudieron 25 personas y se les impartieron  los temas del Plato del Buen Comer con la finalidad de concientizar de los beneficios de la buena nutrición y valor nutritivo de los alimentos y Tipos de Violencia con la finalidad de identificar cada uno de los tipos de violencia y sus consecuencias físicas o emocionales, al finalizar los temas  se realiza una actividad de juegos deportivos con ellas mismas, para lograr que tengan un poco más de actividad y condición física.                                                                                                                                                                                                                                                                                                                                                                                  Con los Niños, Niñas y Adolescentes se continúa trabajando con entrenamientos de fútbol y continuar logrando a que tengan una mejor condición física y coordinación de valor y entender las técnicas para practicar el futbol donde acudieron durante este mes entre ambas colonias 63 NNA. Durante </w:t>
      </w:r>
      <w:r>
        <w:rPr>
          <w:lang w:val="es-ES"/>
        </w:rPr>
        <w:t xml:space="preserve">agosto </w:t>
      </w:r>
      <w:r w:rsidRPr="003660F1">
        <w:rPr>
          <w:lang w:val="es-ES"/>
        </w:rPr>
        <w:t xml:space="preserve">se trabajó en las colonias San Martin Campos Sarita los días jueves cada 15 días de 10:00 a 12:00 , en La Cofradía Centro Comunitario </w:t>
      </w:r>
      <w:proofErr w:type="spellStart"/>
      <w:r w:rsidRPr="003660F1">
        <w:rPr>
          <w:lang w:val="es-ES"/>
        </w:rPr>
        <w:t>Xamixtli</w:t>
      </w:r>
      <w:proofErr w:type="spellEnd"/>
      <w:r w:rsidRPr="003660F1">
        <w:rPr>
          <w:lang w:val="es-ES"/>
        </w:rPr>
        <w:t xml:space="preserve"> los días martes cada 15 días con un horario de 10:00 a 12:00, Los </w:t>
      </w:r>
      <w:proofErr w:type="spellStart"/>
      <w:r w:rsidRPr="003660F1">
        <w:rPr>
          <w:lang w:val="es-ES"/>
        </w:rPr>
        <w:t>Amiales</w:t>
      </w:r>
      <w:proofErr w:type="spellEnd"/>
      <w:r w:rsidRPr="003660F1">
        <w:rPr>
          <w:lang w:val="es-ES"/>
        </w:rPr>
        <w:t xml:space="preserve"> los días lunes cada 15 días de 10:00 a 12:00, a las cuales se les impartió los temas Higiene Bucal dando a conocer la importancia del cuidado dental para la buena salud, complementando con una dinámica para el conocimiento de las caries y sus problemas al perder una pieza y Ciclos del Sueño, con la finalidad de dar importancia al tiempo que duermen para un buen descanso y aseo personal antes de dormir, estas platicas se le imparten a las madres de familia donde acuden 27, con los NNA se trabajaron entrenamientos deportivos para que continúen mejorando su condición, el manejo y habilidad con el balón, de los cuales durante este mes asistieron 55 NNA.                                                                                                                                                                                                        También se acudió a las instalaciones del estadio AKRON, donde la asociación Jorge Vergara nos proporcionó 40 entradas para un recorrido TOURS en el estadio, donde los NNA disfrutaron de un cálido recorrido y toma de fotografías tomadas dentro de las instalaciones.</w:t>
      </w:r>
    </w:p>
    <w:p w:rsidR="00AA3448" w:rsidRDefault="00AA3448" w:rsidP="00AA3448">
      <w:pPr>
        <w:jc w:val="center"/>
        <w:rPr>
          <w:b/>
          <w:bCs/>
        </w:rPr>
      </w:pPr>
      <w:r w:rsidRPr="009D7829">
        <w:rPr>
          <w:b/>
          <w:bCs/>
        </w:rPr>
        <w:t>FORTALECIMIENTO SOCIO</w:t>
      </w:r>
      <w:r>
        <w:rPr>
          <w:b/>
          <w:bCs/>
        </w:rPr>
        <w:t xml:space="preserve"> </w:t>
      </w:r>
      <w:r w:rsidRPr="009D7829">
        <w:rPr>
          <w:b/>
          <w:bCs/>
        </w:rPr>
        <w:t>FAMILIAR</w:t>
      </w:r>
    </w:p>
    <w:p w:rsidR="00AA3448" w:rsidRPr="009C3646" w:rsidRDefault="00AA3448" w:rsidP="00AA3448">
      <w:pPr>
        <w:jc w:val="both"/>
      </w:pPr>
      <w:r w:rsidRPr="009C3646">
        <w:t xml:space="preserve">Dentro del programa se llevó a cabo diversas actividades: </w:t>
      </w:r>
    </w:p>
    <w:p w:rsidR="009F7D12" w:rsidRPr="00946769" w:rsidRDefault="009F7D12" w:rsidP="009F7D12">
      <w:pPr>
        <w:spacing w:after="160" w:line="259" w:lineRule="auto"/>
        <w:rPr>
          <w:lang w:val="es-ES"/>
        </w:rPr>
      </w:pPr>
      <w:r w:rsidRPr="00946769">
        <w:rPr>
          <w:lang w:val="es-ES"/>
        </w:rPr>
        <w:t xml:space="preserve">Seguimiento de 44 casos de fortalecimiento, así como el Seguimiento de 150 casos del proyecto 10 y un total de 20 visitas domiciliaria a: Gigantera, paseos del lago, san Martín de las flores, tapatío, refugio, francisco I madero, plan de oriente, los artesanos, duraznera, juntas y colonia americana, Ojo de agua, camichines, la asunción, lomas de san miguel, Col americana y la super manzana. Se asignaron a las T.S. 55 casos para seguimiento de los programas F.S.F. y PY10 </w:t>
      </w:r>
    </w:p>
    <w:p w:rsidR="009F7D12" w:rsidRPr="00946769" w:rsidRDefault="009F7D12" w:rsidP="009F7D12">
      <w:pPr>
        <w:spacing w:after="160" w:line="259" w:lineRule="auto"/>
        <w:rPr>
          <w:lang w:val="es-ES"/>
        </w:rPr>
      </w:pPr>
      <w:r w:rsidRPr="00946769">
        <w:rPr>
          <w:lang w:val="es-ES"/>
        </w:rPr>
        <w:t xml:space="preserve">Dentro del PROGRAMA FORTALECIMIENTO SOCIOFAMILIAS (RECURSO MUNICIPAL) se benefició a 128 usuarios del municipio de Tlaquepaque, dando un total de gastos por la cantidad de </w:t>
      </w:r>
      <w:r w:rsidRPr="00946769">
        <w:rPr>
          <w:lang w:val="es-ES"/>
        </w:rPr>
        <w:lastRenderedPageBreak/>
        <w:t xml:space="preserve">$397,919.50 pesos, de tal recurso se invirtió para cubrir apoyos de 3 albergues, 2 gastos funerarios, 1 implemento ortopédico, 3 casos de hemodiálisis, 1 insumo médico. Además, se llevó a cabo la campaña TLAQUEPAQUE TE ESCUCHA los días 24 y 25 de julio beneficiando 100 auxiliares auditivos. </w:t>
      </w:r>
    </w:p>
    <w:p w:rsidR="009F7D12" w:rsidRPr="00946769" w:rsidRDefault="009F7D12" w:rsidP="009F7D12">
      <w:pPr>
        <w:spacing w:after="160" w:line="259" w:lineRule="auto"/>
        <w:rPr>
          <w:lang w:val="es-ES"/>
        </w:rPr>
      </w:pPr>
      <w:r w:rsidRPr="00946769">
        <w:rPr>
          <w:lang w:val="es-ES"/>
        </w:rPr>
        <w:t>En el mes en curso se hizo la entregaron 6 casos de medicamentos, 17 casos de pañales, 8 casos de enseres domésticos y 3 de insumos médicos los cuales son cubiertos con recurso del Proyecto 10 denominado Apoyos Asistenciales en situación prioritaria (recurso federal) por la cantidad total de $141,685.92 pesos.</w:t>
      </w:r>
    </w:p>
    <w:p w:rsidR="009F7D12" w:rsidRPr="00946769" w:rsidRDefault="009F7D12" w:rsidP="009F7D12">
      <w:pPr>
        <w:spacing w:after="160" w:line="259" w:lineRule="auto"/>
        <w:rPr>
          <w:lang w:val="es-ES"/>
        </w:rPr>
      </w:pPr>
      <w:r w:rsidRPr="00946769">
        <w:rPr>
          <w:lang w:val="es-ES"/>
        </w:rPr>
        <w:t xml:space="preserve">El área de ventanilla única se atendió un total de 250 usuarios además de recibir 27 SICATS, canalizaciones y contra canalizaciones. Dentro de los apoyos exentados en dicha área, se otorgó:  </w:t>
      </w:r>
    </w:p>
    <w:p w:rsidR="009F7D12" w:rsidRPr="00946769" w:rsidRDefault="009F7D12" w:rsidP="009F7D12">
      <w:pPr>
        <w:rPr>
          <w:lang w:val="es-ES"/>
        </w:rPr>
      </w:pPr>
      <w:r w:rsidRPr="00946769">
        <w:rPr>
          <w:lang w:val="es-ES"/>
        </w:rPr>
        <w:t>3 exento de psicología del 100% por 12 sesiones, 2 exentos de rehabilitación del 100% por 12 sesiones, 2 exentos de 50% rehabilitación de 12 sesiones, 1 exento de servicio de odontología, 2 exentos de laboratorio 100% y 2 de área médica 100%.</w:t>
      </w:r>
    </w:p>
    <w:p w:rsidR="009F7D12" w:rsidRPr="00946769" w:rsidRDefault="009F7D12" w:rsidP="009F7D12">
      <w:pPr>
        <w:spacing w:after="160" w:line="259" w:lineRule="auto"/>
        <w:rPr>
          <w:lang w:val="es-ES"/>
        </w:rPr>
      </w:pPr>
      <w:r w:rsidRPr="00946769">
        <w:rPr>
          <w:lang w:val="es-ES"/>
        </w:rPr>
        <w:t>El día 15 de agosto se llevó a cabo la entrega la entrega del proyecto JUNTOS CONTIGO APOYO CADA PASO, beneficiando a 20 usuarios con implementos ortopédicos (11 sillas de ruedas, 6 bastones y 5 andaderas) dicho proyecto tuvo una inversión de $34,250 pesos.</w:t>
      </w:r>
    </w:p>
    <w:p w:rsidR="00AA3448" w:rsidRDefault="00AA3448" w:rsidP="00AA3448">
      <w:pPr>
        <w:jc w:val="both"/>
      </w:pPr>
    </w:p>
    <w:p w:rsidR="00AA3448" w:rsidRPr="009C3646" w:rsidRDefault="00AA3448" w:rsidP="00AA3448">
      <w:pPr>
        <w:jc w:val="center"/>
        <w:rPr>
          <w:b/>
          <w:bCs/>
        </w:rPr>
      </w:pPr>
      <w:r w:rsidRPr="009C3646">
        <w:rPr>
          <w:b/>
          <w:bCs/>
        </w:rPr>
        <w:t>PROMOCIÓN DE CURSOS Y TALLERES DE LOS CDC</w:t>
      </w:r>
    </w:p>
    <w:p w:rsidR="00AA3448" w:rsidRDefault="00AA3448" w:rsidP="00AA3448">
      <w:pPr>
        <w:jc w:val="both"/>
      </w:pPr>
      <w:r w:rsidRPr="009C3646">
        <w:t xml:space="preserve">Durante este trimestre se continuo con la promoción de </w:t>
      </w:r>
      <w:r w:rsidR="009C2AED" w:rsidRPr="009C3646">
        <w:t>los talleres</w:t>
      </w:r>
      <w:r w:rsidRPr="009C3646">
        <w:t xml:space="preserve"> y cursos que se llevan a cabo en nuestros </w:t>
      </w:r>
      <w:r w:rsidR="009C2AED" w:rsidRPr="009C3646">
        <w:t>CDC</w:t>
      </w:r>
      <w:r w:rsidR="009C2AED">
        <w:t>,</w:t>
      </w:r>
      <w:r w:rsidRPr="009C3646">
        <w:t xml:space="preserve"> otorgando fechas de inicio y te</w:t>
      </w:r>
      <w:r>
        <w:t>r</w:t>
      </w:r>
      <w:r w:rsidRPr="009C3646">
        <w:t>mino para que los ciudadanos pudieran asistir al de su prefe</w:t>
      </w:r>
      <w:r>
        <w:t>re</w:t>
      </w:r>
      <w:r w:rsidRPr="009C3646">
        <w:t xml:space="preserve">ncia. También durante este trimestre se continuo con la evaluación sobre cuáles son los CDC que necesitan más promoción, de igual manera se hizo la difusión de los cursos de verano por diferentes medios para que la comunidad aprovechara de los </w:t>
      </w:r>
      <w:r w:rsidR="009C2AED" w:rsidRPr="009C3646">
        <w:t>mismos.</w:t>
      </w:r>
    </w:p>
    <w:p w:rsidR="00AA3448" w:rsidRDefault="00AA3448" w:rsidP="00AA3448">
      <w:pPr>
        <w:jc w:val="both"/>
      </w:pPr>
    </w:p>
    <w:p w:rsidR="00AA3448" w:rsidRPr="009C3646" w:rsidRDefault="00AA3448" w:rsidP="00AA3448">
      <w:pPr>
        <w:jc w:val="center"/>
        <w:rPr>
          <w:b/>
          <w:bCs/>
        </w:rPr>
      </w:pPr>
      <w:r w:rsidRPr="009C3646">
        <w:rPr>
          <w:b/>
          <w:bCs/>
        </w:rPr>
        <w:t>FORTALECIMIENTO DE CONOCIMIENTOS A PERSONAS CAICS</w:t>
      </w:r>
    </w:p>
    <w:p w:rsidR="00AA3448" w:rsidRDefault="00AA3448" w:rsidP="00AA3448">
      <w:pPr>
        <w:spacing w:after="0" w:line="240" w:lineRule="auto"/>
      </w:pPr>
      <w:r>
        <w:t>-Taller de formación continua para docentes.</w:t>
      </w:r>
    </w:p>
    <w:p w:rsidR="00AA3448" w:rsidRDefault="00AA3448" w:rsidP="00AA3448">
      <w:pPr>
        <w:spacing w:after="0" w:line="240" w:lineRule="auto"/>
      </w:pPr>
      <w:r>
        <w:t>-Capacitación de Proyectos integradores, Maestras y Directivo.</w:t>
      </w:r>
    </w:p>
    <w:p w:rsidR="00AA3448" w:rsidRDefault="00AA3448" w:rsidP="00AA3448">
      <w:pPr>
        <w:spacing w:after="0" w:line="240" w:lineRule="auto"/>
      </w:pPr>
      <w:r>
        <w:t>-Reunión CTE Directivos.</w:t>
      </w:r>
    </w:p>
    <w:p w:rsidR="00AA3448" w:rsidRDefault="00AA3448" w:rsidP="00AA3448">
      <w:pPr>
        <w:spacing w:after="0" w:line="240" w:lineRule="auto"/>
      </w:pPr>
      <w:r>
        <w:t>-Taller de formación continua para docentes.</w:t>
      </w:r>
    </w:p>
    <w:p w:rsidR="00AA3448" w:rsidRDefault="00AA3448" w:rsidP="00AA3448">
      <w:pPr>
        <w:spacing w:after="0" w:line="240" w:lineRule="auto"/>
      </w:pPr>
      <w:r>
        <w:t>-Capacitación lengua de señas nivel 2.</w:t>
      </w:r>
    </w:p>
    <w:p w:rsidR="00AA3448" w:rsidRDefault="00AA3448" w:rsidP="00AA3448">
      <w:pPr>
        <w:spacing w:after="0" w:line="240" w:lineRule="auto"/>
      </w:pPr>
      <w:r>
        <w:t>-Capacitación modelo diré 2.</w:t>
      </w:r>
    </w:p>
    <w:p w:rsidR="00937252" w:rsidRPr="00883A85" w:rsidRDefault="00AA3448" w:rsidP="00883A85">
      <w:pPr>
        <w:spacing w:after="0" w:line="240" w:lineRule="auto"/>
      </w:pPr>
      <w:r>
        <w:t>-Capacitación alumnos Protección Civil.</w:t>
      </w:r>
    </w:p>
    <w:p w:rsidR="00937252" w:rsidRDefault="00937252">
      <w:pPr>
        <w:rPr>
          <w:rFonts w:ascii="Arial" w:hAnsi="Arial" w:cs="Arial"/>
        </w:rPr>
      </w:pPr>
    </w:p>
    <w:p w:rsidR="00883A85" w:rsidRDefault="00883A85">
      <w:pPr>
        <w:rPr>
          <w:rFonts w:ascii="Arial" w:hAnsi="Arial" w:cs="Arial"/>
        </w:rPr>
      </w:pPr>
    </w:p>
    <w:p w:rsidR="00883A85" w:rsidRDefault="00883A85">
      <w:pPr>
        <w:rPr>
          <w:rFonts w:ascii="Arial" w:hAnsi="Arial" w:cs="Arial"/>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37"/>
        <w:gridCol w:w="1242"/>
        <w:gridCol w:w="3849"/>
      </w:tblGrid>
      <w:tr w:rsidR="00937252" w:rsidRPr="00EB7BF7" w:rsidTr="00937252">
        <w:trPr>
          <w:jc w:val="center"/>
        </w:trPr>
        <w:tc>
          <w:tcPr>
            <w:tcW w:w="3794" w:type="dxa"/>
            <w:shd w:val="clear" w:color="auto" w:fill="auto"/>
          </w:tcPr>
          <w:p w:rsidR="00937252" w:rsidRPr="00EB7BF7" w:rsidRDefault="00003006" w:rsidP="00937252">
            <w:pPr>
              <w:tabs>
                <w:tab w:val="center" w:pos="1789"/>
              </w:tabs>
              <w:rPr>
                <w:rFonts w:ascii="Arial" w:hAnsi="Arial" w:cs="Arial"/>
                <w:b/>
                <w:sz w:val="20"/>
              </w:rPr>
            </w:pPr>
            <w:r w:rsidRPr="00EB7BF7">
              <w:rPr>
                <w:rFonts w:ascii="Arial" w:hAnsi="Arial" w:cs="Arial"/>
                <w:b/>
                <w:noProof/>
                <w:lang w:eastAsia="es-MX"/>
              </w:rPr>
              <w:lastRenderedPageBreak/>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259715</wp:posOffset>
                      </wp:positionV>
                      <wp:extent cx="2295525" cy="0"/>
                      <wp:effectExtent l="5080" t="5080" r="1397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2F7FCB" id="_x0000_t32" coordsize="21600,21600" o:spt="32" o:oned="t" path="m,l21600,21600e" filled="f">
                      <v:path arrowok="t" fillok="f" o:connecttype="none"/>
                      <o:lock v:ext="edit" shapetype="t"/>
                    </v:shapetype>
                    <v:shape id="AutoShape 2" o:spid="_x0000_s1026" type="#_x0000_t32" style="position:absolute;margin-left:-1.8pt;margin-top:20.45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A9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ni9ms3yGEb3qElJeHY11/gvXAwpChZ23RHS9r7VS0HhtsxiGHB6d&#10;D7RIeXUIUZXeCClj/6VCY4UXIU7QOC0FC8p4sd2ulhYdSJig+MUc35lZvVcsgvWcsPVF9kTIswzB&#10;pQp4kBjQuUjnEfm5SBfr+XpeTIr8bj0p0qaZPGzqYnK3yT7Pmk9NXTfZr0AtK8peMMZVYHcd16z4&#10;u3G4LM550G4DeytD8hY91gvIXv+RdOxsaOZ5LHaanbb22nGY0Gh82aawAq/vIL/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NEB8D0bAgAAOwQAAA4AAAAAAAAAAAAAAAAALgIAAGRycy9lMm9Eb2MueG1sUEsBAi0A&#10;FAAGAAgAAAAhANSWC17eAAAACAEAAA8AAAAAAAAAAAAAAAAAdQQAAGRycy9kb3ducmV2LnhtbFBL&#10;BQYAAAAABAAEAPMAAACABQAAAAA=&#10;"/>
                  </w:pict>
                </mc:Fallback>
              </mc:AlternateContent>
            </w:r>
            <w:r w:rsidR="00937252">
              <w:rPr>
                <w:rFonts w:ascii="Arial" w:hAnsi="Arial" w:cs="Arial"/>
                <w:b/>
                <w:sz w:val="20"/>
              </w:rPr>
              <w:tab/>
            </w:r>
          </w:p>
        </w:tc>
        <w:tc>
          <w:tcPr>
            <w:tcW w:w="1276" w:type="dxa"/>
            <w:shd w:val="clear" w:color="auto" w:fill="auto"/>
          </w:tcPr>
          <w:p w:rsidR="00937252" w:rsidRPr="00EB7BF7" w:rsidRDefault="00937252" w:rsidP="00937252">
            <w:pPr>
              <w:rPr>
                <w:rFonts w:ascii="Arial" w:hAnsi="Arial" w:cs="Arial"/>
                <w:b/>
                <w:sz w:val="20"/>
              </w:rPr>
            </w:pPr>
          </w:p>
        </w:tc>
        <w:tc>
          <w:tcPr>
            <w:tcW w:w="3908" w:type="dxa"/>
            <w:shd w:val="clear" w:color="auto" w:fill="auto"/>
          </w:tcPr>
          <w:p w:rsidR="00937252" w:rsidRDefault="00003006" w:rsidP="00937252">
            <w:pPr>
              <w:tabs>
                <w:tab w:val="center" w:pos="1846"/>
              </w:tabs>
              <w:rPr>
                <w:rFonts w:ascii="Arial" w:hAnsi="Arial" w:cs="Arial"/>
                <w:b/>
                <w:sz w:val="20"/>
              </w:rPr>
            </w:pPr>
            <w:r w:rsidRPr="00EB7BF7">
              <w:rPr>
                <w:rFonts w:ascii="Arial" w:hAnsi="Arial" w:cs="Arial"/>
                <w:b/>
                <w:noProof/>
                <w:lang w:eastAsia="es-MX"/>
              </w:rPr>
              <mc:AlternateContent>
                <mc:Choice Requires="wps">
                  <w:drawing>
                    <wp:anchor distT="0" distB="0" distL="114300" distR="114300" simplePos="0" relativeHeight="251658240" behindDoc="0" locked="0" layoutInCell="1" allowOverlap="1">
                      <wp:simplePos x="0" y="0"/>
                      <wp:positionH relativeFrom="column">
                        <wp:posOffset>15240</wp:posOffset>
                      </wp:positionH>
                      <wp:positionV relativeFrom="paragraph">
                        <wp:posOffset>259715</wp:posOffset>
                      </wp:positionV>
                      <wp:extent cx="2295525" cy="0"/>
                      <wp:effectExtent l="5080" t="5080" r="13970"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DF277" id="AutoShape 3" o:spid="_x0000_s1026" type="#_x0000_t32" style="position:absolute;margin-left:1.2pt;margin-top:20.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nmLwehwCAAA7BAAADgAAAAAAAAAAAAAAAAAuAgAAZHJzL2Uyb0RvYy54bWxQSwECLQAU&#10;AAYACAAAACEArxXqGdwAAAAHAQAADwAAAAAAAAAAAAAAAAB2BAAAZHJzL2Rvd25yZXYueG1sUEsF&#10;BgAAAAAEAAQA8wAAAH8FAAAAAA==&#10;"/>
                  </w:pict>
                </mc:Fallback>
              </mc:AlternateContent>
            </w:r>
            <w:r w:rsidR="00937252">
              <w:rPr>
                <w:rFonts w:ascii="Arial" w:hAnsi="Arial" w:cs="Arial"/>
                <w:b/>
                <w:sz w:val="20"/>
              </w:rPr>
              <w:tab/>
            </w:r>
          </w:p>
          <w:p w:rsidR="00883A85" w:rsidRDefault="00883A85" w:rsidP="00937252">
            <w:pPr>
              <w:tabs>
                <w:tab w:val="center" w:pos="1846"/>
              </w:tabs>
              <w:rPr>
                <w:rFonts w:ascii="Arial" w:hAnsi="Arial" w:cs="Arial"/>
                <w:b/>
                <w:sz w:val="20"/>
              </w:rPr>
            </w:pPr>
          </w:p>
          <w:p w:rsidR="00883A85" w:rsidRPr="00EB7BF7" w:rsidRDefault="00883A85" w:rsidP="00937252">
            <w:pPr>
              <w:tabs>
                <w:tab w:val="center" w:pos="1846"/>
              </w:tabs>
              <w:rPr>
                <w:rFonts w:ascii="Arial" w:hAnsi="Arial" w:cs="Arial"/>
                <w:b/>
                <w:sz w:val="20"/>
              </w:rPr>
            </w:pPr>
          </w:p>
        </w:tc>
      </w:tr>
      <w:tr w:rsidR="00937252" w:rsidRPr="00EB7BF7" w:rsidTr="00937252">
        <w:trPr>
          <w:jc w:val="center"/>
        </w:trPr>
        <w:tc>
          <w:tcPr>
            <w:tcW w:w="3794" w:type="dxa"/>
            <w:shd w:val="clear" w:color="auto" w:fill="auto"/>
          </w:tcPr>
          <w:p w:rsidR="00937252" w:rsidRPr="00EB7BF7" w:rsidRDefault="009C2AED" w:rsidP="00937252">
            <w:pPr>
              <w:jc w:val="center"/>
              <w:rPr>
                <w:rFonts w:ascii="Arial" w:hAnsi="Arial" w:cs="Arial"/>
                <w:b/>
                <w:sz w:val="20"/>
              </w:rPr>
            </w:pPr>
            <w:bookmarkStart w:id="3" w:name="firma1"/>
            <w:bookmarkEnd w:id="3"/>
            <w:r>
              <w:rPr>
                <w:rFonts w:ascii="Arial" w:hAnsi="Arial" w:cs="Arial"/>
                <w:b/>
                <w:sz w:val="20"/>
              </w:rPr>
              <w:t>MA. DE JESUS GALVAN MORA</w:t>
            </w:r>
          </w:p>
          <w:p w:rsidR="00937252" w:rsidRPr="00EB7BF7" w:rsidRDefault="000C6815" w:rsidP="00937252">
            <w:pPr>
              <w:jc w:val="center"/>
              <w:rPr>
                <w:rFonts w:ascii="Arial" w:hAnsi="Arial" w:cs="Arial"/>
                <w:b/>
                <w:sz w:val="20"/>
              </w:rPr>
            </w:pPr>
            <w:bookmarkStart w:id="4" w:name="Cargo1"/>
            <w:bookmarkEnd w:id="4"/>
            <w:r>
              <w:rPr>
                <w:rFonts w:ascii="Arial" w:hAnsi="Arial" w:cs="Arial"/>
                <w:b/>
                <w:sz w:val="20"/>
              </w:rPr>
              <w:t>DIRECTORA GENERAL</w:t>
            </w:r>
          </w:p>
        </w:tc>
        <w:tc>
          <w:tcPr>
            <w:tcW w:w="1276" w:type="dxa"/>
            <w:shd w:val="clear" w:color="auto" w:fill="auto"/>
          </w:tcPr>
          <w:p w:rsidR="00937252" w:rsidRPr="00EB7BF7" w:rsidRDefault="00937252" w:rsidP="00937252">
            <w:pPr>
              <w:rPr>
                <w:rFonts w:ascii="Arial" w:hAnsi="Arial" w:cs="Arial"/>
                <w:b/>
                <w:sz w:val="20"/>
              </w:rPr>
            </w:pPr>
          </w:p>
        </w:tc>
        <w:tc>
          <w:tcPr>
            <w:tcW w:w="3908" w:type="dxa"/>
            <w:shd w:val="clear" w:color="auto" w:fill="auto"/>
          </w:tcPr>
          <w:p w:rsidR="00937252" w:rsidRPr="00EB7BF7" w:rsidRDefault="000C6815" w:rsidP="00937252">
            <w:pPr>
              <w:jc w:val="center"/>
              <w:rPr>
                <w:rFonts w:ascii="Arial" w:hAnsi="Arial" w:cs="Arial"/>
                <w:b/>
                <w:sz w:val="20"/>
              </w:rPr>
            </w:pPr>
            <w:bookmarkStart w:id="5" w:name="firma2"/>
            <w:bookmarkEnd w:id="5"/>
            <w:r>
              <w:rPr>
                <w:rFonts w:ascii="Arial" w:hAnsi="Arial" w:cs="Arial"/>
                <w:b/>
                <w:sz w:val="20"/>
              </w:rPr>
              <w:t>JOSE ANUAR REYNAGA MIRAMONTES</w:t>
            </w:r>
          </w:p>
          <w:p w:rsidR="00937252" w:rsidRPr="00EB7BF7" w:rsidRDefault="000C6815" w:rsidP="00937252">
            <w:pPr>
              <w:jc w:val="center"/>
              <w:rPr>
                <w:rFonts w:ascii="Arial" w:hAnsi="Arial" w:cs="Arial"/>
                <w:b/>
                <w:sz w:val="20"/>
              </w:rPr>
            </w:pPr>
            <w:bookmarkStart w:id="6" w:name="Cargo2"/>
            <w:bookmarkEnd w:id="6"/>
            <w:r>
              <w:rPr>
                <w:rFonts w:ascii="Arial" w:hAnsi="Arial" w:cs="Arial"/>
                <w:b/>
                <w:sz w:val="20"/>
              </w:rPr>
              <w:t>TITULAR DE LA JEFATURA DE FINANZAS</w:t>
            </w:r>
          </w:p>
        </w:tc>
      </w:tr>
    </w:tbl>
    <w:p w:rsidR="00937252" w:rsidRDefault="00937252" w:rsidP="00937252">
      <w:pPr>
        <w:rPr>
          <w:rFonts w:ascii="Arial" w:hAnsi="Arial" w:cs="Arial"/>
          <w:sz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828"/>
      </w:tblGrid>
      <w:tr w:rsidR="00937252" w:rsidRPr="00721735" w:rsidTr="00937252">
        <w:tc>
          <w:tcPr>
            <w:tcW w:w="8978" w:type="dxa"/>
            <w:shd w:val="clear" w:color="auto" w:fill="auto"/>
          </w:tcPr>
          <w:p w:rsidR="00937252" w:rsidRPr="00721735" w:rsidRDefault="00937252" w:rsidP="00937252">
            <w:pPr>
              <w:jc w:val="center"/>
              <w:rPr>
                <w:rFonts w:ascii="C39HrP24DhTt" w:hAnsi="C39HrP24DhTt" w:cs="Arial"/>
                <w:sz w:val="44"/>
                <w:szCs w:val="44"/>
              </w:rPr>
            </w:pPr>
            <w:bookmarkStart w:id="7" w:name="codigo"/>
            <w:bookmarkEnd w:id="7"/>
          </w:p>
        </w:tc>
      </w:tr>
    </w:tbl>
    <w:p w:rsidR="00937252" w:rsidRPr="007326BD" w:rsidRDefault="00937252">
      <w:pPr>
        <w:rPr>
          <w:rFonts w:ascii="Arial" w:hAnsi="Arial" w:cs="Arial"/>
        </w:rPr>
      </w:pPr>
    </w:p>
    <w:sectPr w:rsidR="00937252" w:rsidRPr="007326BD" w:rsidSect="00883A85">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39HrP24DhT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E83"/>
    <w:rsid w:val="00003006"/>
    <w:rsid w:val="000A31D1"/>
    <w:rsid w:val="000C6815"/>
    <w:rsid w:val="00152F2C"/>
    <w:rsid w:val="003C07A3"/>
    <w:rsid w:val="00715B3E"/>
    <w:rsid w:val="007326BD"/>
    <w:rsid w:val="00806603"/>
    <w:rsid w:val="00883A85"/>
    <w:rsid w:val="00937252"/>
    <w:rsid w:val="009C2AED"/>
    <w:rsid w:val="009F7D12"/>
    <w:rsid w:val="00A45E83"/>
    <w:rsid w:val="00AA3448"/>
    <w:rsid w:val="00AF05E1"/>
    <w:rsid w:val="00C6688B"/>
    <w:rsid w:val="00DD19A1"/>
    <w:rsid w:val="00ED3132"/>
    <w:rsid w:val="00F279B3"/>
    <w:rsid w:val="00F856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CA914"/>
  <w15:chartTrackingRefBased/>
  <w15:docId w15:val="{6864FABF-BCFA-4CF0-8414-D8B67EA18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D31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313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3140</Words>
  <Characters>17276</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ISC Heriberto Ocaña Navarro</dc:creator>
  <cp:keywords/>
  <cp:lastModifiedBy>Analista Conta</cp:lastModifiedBy>
  <cp:revision>5</cp:revision>
  <cp:lastPrinted>2023-11-14T00:28:00Z</cp:lastPrinted>
  <dcterms:created xsi:type="dcterms:W3CDTF">2024-10-24T20:18:00Z</dcterms:created>
  <dcterms:modified xsi:type="dcterms:W3CDTF">2024-10-30T16:03:00Z</dcterms:modified>
</cp:coreProperties>
</file>